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 w:eastAsia="仿宋_GB2312"/>
          <w:sz w:val="32"/>
          <w:szCs w:val="32"/>
        </w:rPr>
      </w:pPr>
      <w:r>
        <w:rPr>
          <w:rFonts w:hint="eastAsia" w:ascii="仿宋_GB2312" w:hAnsi="仿宋" w:eastAsia="仿宋_GB2312"/>
          <w:sz w:val="32"/>
          <w:szCs w:val="32"/>
        </w:rPr>
        <w:t>附件2</w:t>
      </w:r>
    </w:p>
    <w:p>
      <w:pPr>
        <w:spacing w:line="560" w:lineRule="exact"/>
        <w:jc w:val="center"/>
        <w:rPr>
          <w:rFonts w:hint="eastAsia" w:ascii="方正大标宋简体" w:hAnsi="黑体" w:eastAsia="方正大标宋简体" w:cs="黑体"/>
          <w:bCs/>
          <w:sz w:val="36"/>
          <w:szCs w:val="36"/>
        </w:rPr>
      </w:pPr>
      <w:r>
        <w:rPr>
          <w:rFonts w:hint="eastAsia" w:ascii="方正大标宋简体" w:hAnsi="黑体" w:eastAsia="方正大标宋简体" w:cs="黑体"/>
          <w:bCs/>
          <w:sz w:val="36"/>
          <w:szCs w:val="36"/>
        </w:rPr>
        <w:t>六合区幼小科学衔接视导评估标准（试行）</w:t>
      </w:r>
    </w:p>
    <w:tbl>
      <w:tblPr>
        <w:tblStyle w:val="4"/>
        <w:tblW w:w="9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6"/>
        <w:gridCol w:w="633"/>
        <w:gridCol w:w="1276"/>
        <w:gridCol w:w="5305"/>
        <w:gridCol w:w="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1176" w:type="dxa"/>
            <w:noWrap w:val="0"/>
            <w:vAlign w:val="center"/>
          </w:tcPr>
          <w:p>
            <w:pPr>
              <w:jc w:val="center"/>
              <w:rPr>
                <w:rFonts w:hint="eastAsia"/>
                <w:sz w:val="24"/>
              </w:rPr>
            </w:pPr>
            <w:r>
              <w:rPr>
                <w:rFonts w:hint="eastAsia"/>
                <w:sz w:val="24"/>
              </w:rPr>
              <w:t>一级指标</w:t>
            </w:r>
          </w:p>
        </w:tc>
        <w:tc>
          <w:tcPr>
            <w:tcW w:w="1909" w:type="dxa"/>
            <w:gridSpan w:val="2"/>
            <w:tcBorders>
              <w:right w:val="single" w:color="auto" w:sz="4" w:space="0"/>
            </w:tcBorders>
            <w:noWrap w:val="0"/>
            <w:vAlign w:val="center"/>
          </w:tcPr>
          <w:p>
            <w:pPr>
              <w:jc w:val="center"/>
              <w:rPr>
                <w:rFonts w:hint="eastAsia"/>
                <w:sz w:val="24"/>
              </w:rPr>
            </w:pPr>
            <w:r>
              <w:rPr>
                <w:rFonts w:hint="eastAsia"/>
                <w:sz w:val="24"/>
              </w:rPr>
              <w:t>二级指标</w:t>
            </w:r>
          </w:p>
        </w:tc>
        <w:tc>
          <w:tcPr>
            <w:tcW w:w="5305" w:type="dxa"/>
            <w:tcBorders>
              <w:left w:val="single" w:color="auto" w:sz="4" w:space="0"/>
              <w:right w:val="single" w:color="auto" w:sz="4" w:space="0"/>
            </w:tcBorders>
            <w:noWrap w:val="0"/>
            <w:vAlign w:val="center"/>
          </w:tcPr>
          <w:p>
            <w:pPr>
              <w:jc w:val="center"/>
              <w:rPr>
                <w:rFonts w:hint="eastAsia"/>
                <w:sz w:val="24"/>
              </w:rPr>
            </w:pPr>
            <w:r>
              <w:rPr>
                <w:rFonts w:hint="eastAsia"/>
                <w:sz w:val="24"/>
              </w:rPr>
              <w:t>指标描述</w:t>
            </w:r>
          </w:p>
        </w:tc>
        <w:tc>
          <w:tcPr>
            <w:tcW w:w="790" w:type="dxa"/>
            <w:tcBorders>
              <w:left w:val="single" w:color="auto" w:sz="4" w:space="0"/>
              <w:bottom w:val="single" w:color="auto" w:sz="4" w:space="0"/>
            </w:tcBorders>
            <w:noWrap w:val="0"/>
            <w:vAlign w:val="center"/>
          </w:tcPr>
          <w:p>
            <w:pPr>
              <w:jc w:val="center"/>
              <w:rPr>
                <w:rFonts w:hint="eastAsia"/>
                <w:sz w:val="24"/>
              </w:rPr>
            </w:pPr>
            <w:r>
              <w:rPr>
                <w:rFonts w:hint="eastAsia"/>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2" w:hRule="atLeast"/>
          <w:jc w:val="center"/>
        </w:trPr>
        <w:tc>
          <w:tcPr>
            <w:tcW w:w="1176" w:type="dxa"/>
            <w:vMerge w:val="restart"/>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A1</w:t>
            </w:r>
          </w:p>
          <w:p>
            <w:pPr>
              <w:jc w:val="center"/>
              <w:rPr>
                <w:rFonts w:hint="eastAsia" w:ascii="仿宋_GB2312" w:hAnsi="仿宋" w:cs="仿宋_GB2312"/>
                <w:bCs/>
                <w:sz w:val="24"/>
              </w:rPr>
            </w:pPr>
            <w:r>
              <w:rPr>
                <w:rFonts w:hint="eastAsia" w:ascii="仿宋_GB2312" w:hAnsi="仿宋" w:cs="仿宋_GB2312"/>
                <w:bCs/>
                <w:sz w:val="24"/>
              </w:rPr>
              <w:t>组织领导</w:t>
            </w:r>
          </w:p>
          <w:p>
            <w:pPr>
              <w:jc w:val="center"/>
              <w:rPr>
                <w:sz w:val="24"/>
              </w:rPr>
            </w:pPr>
            <w:r>
              <w:rPr>
                <w:rFonts w:hint="eastAsia" w:ascii="仿宋_GB2312" w:hAnsi="仿宋" w:cs="仿宋_GB2312"/>
                <w:bCs/>
                <w:sz w:val="24"/>
              </w:rPr>
              <w:t>（20分）</w:t>
            </w:r>
          </w:p>
        </w:tc>
        <w:tc>
          <w:tcPr>
            <w:tcW w:w="633" w:type="dxa"/>
            <w:tcBorders>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B1</w:t>
            </w:r>
          </w:p>
        </w:tc>
        <w:tc>
          <w:tcPr>
            <w:tcW w:w="1276"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健全工作体系</w:t>
            </w:r>
          </w:p>
        </w:tc>
        <w:tc>
          <w:tcPr>
            <w:tcW w:w="5305" w:type="dxa"/>
            <w:tcBorders>
              <w:left w:val="single" w:color="auto" w:sz="4" w:space="0"/>
              <w:bottom w:val="single" w:color="auto" w:sz="4" w:space="0"/>
              <w:right w:val="single" w:color="auto" w:sz="4" w:space="0"/>
            </w:tcBorders>
            <w:noWrap w:val="0"/>
            <w:vAlign w:val="center"/>
          </w:tcPr>
          <w:p>
            <w:pPr>
              <w:spacing w:line="320" w:lineRule="exact"/>
              <w:rPr>
                <w:rFonts w:ascii="仿宋_GB2312" w:hAnsi="仿宋" w:cs="仿宋_GB2312"/>
                <w:bCs/>
                <w:sz w:val="24"/>
              </w:rPr>
            </w:pPr>
            <w:r>
              <w:rPr>
                <w:rFonts w:hint="eastAsia" w:ascii="仿宋_GB2312" w:hAnsi="仿宋" w:cs="仿宋_GB2312"/>
                <w:bCs/>
                <w:sz w:val="24"/>
              </w:rPr>
              <w:t>建立起校级领导、中层和年级负责人组成的工作团队（4）。两轨及以上学校有校级领导、两轨以下学校有中层专人负责此项工作（1）。建立幼小科学衔接工作机制（3）。</w:t>
            </w:r>
          </w:p>
        </w:tc>
        <w:tc>
          <w:tcPr>
            <w:tcW w:w="790"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76" w:type="dxa"/>
            <w:vMerge w:val="continue"/>
            <w:noWrap w:val="0"/>
            <w:vAlign w:val="center"/>
          </w:tcPr>
          <w:p>
            <w:pPr>
              <w:spacing w:line="320" w:lineRule="exact"/>
              <w:jc w:val="center"/>
              <w:rPr>
                <w:rFonts w:hint="eastAsia" w:ascii="仿宋_GB2312" w:hAnsi="仿宋" w:cs="仿宋_GB2312"/>
                <w:bCs/>
                <w:sz w:val="24"/>
              </w:rPr>
            </w:pPr>
          </w:p>
        </w:tc>
        <w:tc>
          <w:tcPr>
            <w:tcW w:w="63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制定工作计划</w:t>
            </w:r>
          </w:p>
        </w:tc>
        <w:tc>
          <w:tcPr>
            <w:tcW w:w="53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cs="仿宋_GB2312"/>
                <w:bCs/>
                <w:sz w:val="24"/>
              </w:rPr>
            </w:pPr>
            <w:r>
              <w:rPr>
                <w:rFonts w:hint="eastAsia" w:ascii="仿宋_GB2312" w:hAnsi="仿宋" w:cs="仿宋_GB2312"/>
                <w:bCs/>
                <w:sz w:val="24"/>
              </w:rPr>
              <w:t>两轨及以上学校制定专门幼小衔接学期工作计划，两轨以下学校应在学校工作计划中专列（2）。幼小衔接工作计划应目标明确、内容具体（3）。</w:t>
            </w:r>
          </w:p>
        </w:tc>
        <w:tc>
          <w:tcPr>
            <w:tcW w:w="790"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1176" w:type="dxa"/>
            <w:vMerge w:val="continue"/>
            <w:noWrap w:val="0"/>
            <w:vAlign w:val="center"/>
          </w:tcPr>
          <w:p>
            <w:pPr>
              <w:spacing w:line="320" w:lineRule="exact"/>
              <w:jc w:val="center"/>
              <w:rPr>
                <w:rFonts w:hint="eastAsia" w:ascii="仿宋_GB2312" w:hAnsi="仿宋" w:cs="仿宋_GB2312"/>
                <w:bCs/>
                <w:sz w:val="24"/>
              </w:rPr>
            </w:pPr>
          </w:p>
        </w:tc>
        <w:tc>
          <w:tcPr>
            <w:tcW w:w="633" w:type="dxa"/>
            <w:tcBorders>
              <w:top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B3</w:t>
            </w:r>
          </w:p>
        </w:tc>
        <w:tc>
          <w:tcPr>
            <w:tcW w:w="1276"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重视学习宣传</w:t>
            </w:r>
          </w:p>
        </w:tc>
        <w:tc>
          <w:tcPr>
            <w:tcW w:w="5305" w:type="dxa"/>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cs="仿宋_GB2312"/>
                <w:bCs/>
                <w:sz w:val="24"/>
              </w:rPr>
            </w:pPr>
            <w:r>
              <w:rPr>
                <w:rFonts w:hint="eastAsia" w:ascii="仿宋_GB2312" w:hAnsi="仿宋" w:cs="仿宋_GB2312"/>
                <w:bCs/>
                <w:sz w:val="24"/>
                <w:lang w:val="en-US" w:eastAsia="zh-CN"/>
              </w:rPr>
              <w:t>学校主要领导、分管领导</w:t>
            </w:r>
            <w:r>
              <w:rPr>
                <w:rFonts w:hint="eastAsia" w:ascii="仿宋_GB2312" w:hAnsi="仿宋" w:cs="仿宋_GB2312"/>
                <w:bCs/>
                <w:sz w:val="24"/>
              </w:rPr>
              <w:t>和一年级教师学习相关文件和</w:t>
            </w:r>
            <w:r>
              <w:rPr>
                <w:rFonts w:hint="eastAsia" w:ascii="仿宋_GB2312" w:hAnsi="仿宋" w:cs="仿宋_GB2312"/>
                <w:bCs/>
                <w:sz w:val="24"/>
                <w:lang w:val="en-US" w:eastAsia="zh-CN"/>
              </w:rPr>
              <w:t>教育部两“指导</w:t>
            </w:r>
            <w:r>
              <w:rPr>
                <w:rFonts w:hint="eastAsia" w:ascii="仿宋_GB2312" w:hAnsi="仿宋" w:cs="仿宋_GB2312"/>
                <w:bCs/>
                <w:sz w:val="24"/>
              </w:rPr>
              <w:t>要点</w:t>
            </w:r>
            <w:r>
              <w:rPr>
                <w:rFonts w:hint="eastAsia" w:ascii="仿宋_GB2312" w:hAnsi="仿宋" w:cs="仿宋_GB2312"/>
                <w:bCs/>
                <w:sz w:val="24"/>
                <w:lang w:eastAsia="zh-CN"/>
              </w:rPr>
              <w:t>”</w:t>
            </w:r>
            <w:r>
              <w:rPr>
                <w:rFonts w:hint="eastAsia" w:ascii="仿宋_GB2312" w:hAnsi="仿宋" w:cs="仿宋_GB2312"/>
                <w:bCs/>
                <w:sz w:val="24"/>
                <w:lang w:val="en-US" w:eastAsia="zh-CN"/>
              </w:rPr>
              <w:t>情况</w:t>
            </w:r>
            <w:r>
              <w:rPr>
                <w:rFonts w:hint="eastAsia" w:ascii="仿宋_GB2312" w:hAnsi="仿宋" w:cs="仿宋_GB2312"/>
                <w:bCs/>
                <w:sz w:val="24"/>
              </w:rPr>
              <w:t>（5）；开学前后对家长开展入学适应家庭教育指导（2）。</w:t>
            </w:r>
          </w:p>
        </w:tc>
        <w:tc>
          <w:tcPr>
            <w:tcW w:w="790" w:type="dxa"/>
            <w:tcBorders>
              <w:top w:val="single" w:color="auto" w:sz="4" w:space="0"/>
              <w:lef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1176" w:type="dxa"/>
            <w:vMerge w:val="restart"/>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A2</w:t>
            </w:r>
          </w:p>
          <w:p>
            <w:pPr>
              <w:jc w:val="center"/>
              <w:rPr>
                <w:rFonts w:hint="eastAsia" w:ascii="仿宋_GB2312" w:hAnsi="仿宋" w:cs="仿宋_GB2312"/>
                <w:bCs/>
                <w:sz w:val="24"/>
              </w:rPr>
            </w:pPr>
            <w:r>
              <w:rPr>
                <w:rFonts w:hint="eastAsia" w:ascii="仿宋_GB2312" w:hAnsi="仿宋" w:cs="仿宋_GB2312"/>
                <w:bCs/>
                <w:sz w:val="24"/>
              </w:rPr>
              <w:t>重点工作</w:t>
            </w:r>
          </w:p>
          <w:p>
            <w:pPr>
              <w:spacing w:line="320" w:lineRule="exact"/>
              <w:jc w:val="center"/>
              <w:rPr>
                <w:sz w:val="24"/>
              </w:rPr>
            </w:pPr>
            <w:r>
              <w:rPr>
                <w:rFonts w:hint="eastAsia" w:ascii="仿宋_GB2312" w:hAnsi="仿宋" w:cs="仿宋_GB2312"/>
                <w:bCs/>
                <w:sz w:val="24"/>
              </w:rPr>
              <w:t>（30分）</w:t>
            </w:r>
          </w:p>
        </w:tc>
        <w:tc>
          <w:tcPr>
            <w:tcW w:w="633" w:type="dxa"/>
            <w:tcBorders>
              <w:top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B4</w:t>
            </w:r>
          </w:p>
        </w:tc>
        <w:tc>
          <w:tcPr>
            <w:tcW w:w="1276"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环境调适</w:t>
            </w:r>
          </w:p>
        </w:tc>
        <w:tc>
          <w:tcPr>
            <w:tcW w:w="5305" w:type="dxa"/>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cs="仿宋_GB2312"/>
                <w:bCs/>
                <w:szCs w:val="21"/>
              </w:rPr>
            </w:pPr>
            <w:r>
              <w:rPr>
                <w:rFonts w:hint="eastAsia" w:ascii="仿宋_GB2312" w:hAnsi="仿宋" w:eastAsia="宋体" w:cs="仿宋_GB2312"/>
                <w:bCs/>
                <w:sz w:val="24"/>
                <w:lang w:val="en-US" w:eastAsia="zh-CN"/>
              </w:rPr>
              <w:t>对学校局部环境（周边2班级3氛围1）及管理要求进行适当调整，创设包容和支持性的学习环境，努力消除儿童对学校的陌生体验和不适应（2）。</w:t>
            </w:r>
          </w:p>
        </w:tc>
        <w:tc>
          <w:tcPr>
            <w:tcW w:w="790" w:type="dxa"/>
            <w:tcBorders>
              <w:top w:val="single" w:color="auto" w:sz="4" w:space="0"/>
              <w:lef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1176" w:type="dxa"/>
            <w:vMerge w:val="continue"/>
            <w:noWrap w:val="0"/>
            <w:vAlign w:val="center"/>
          </w:tcPr>
          <w:p>
            <w:pPr>
              <w:spacing w:line="320" w:lineRule="exact"/>
              <w:rPr>
                <w:sz w:val="24"/>
              </w:rPr>
            </w:pPr>
          </w:p>
        </w:tc>
        <w:tc>
          <w:tcPr>
            <w:tcW w:w="633" w:type="dxa"/>
            <w:tcBorders>
              <w:top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B5</w:t>
            </w:r>
          </w:p>
        </w:tc>
        <w:tc>
          <w:tcPr>
            <w:tcW w:w="1276"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衔接教育</w:t>
            </w:r>
          </w:p>
        </w:tc>
        <w:tc>
          <w:tcPr>
            <w:tcW w:w="5305" w:type="dxa"/>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cs="仿宋_GB2312"/>
                <w:bCs/>
                <w:sz w:val="24"/>
              </w:rPr>
            </w:pPr>
            <w:r>
              <w:rPr>
                <w:rFonts w:hint="eastAsia" w:ascii="仿宋_GB2312" w:hAnsi="仿宋" w:cs="仿宋_GB2312"/>
                <w:bCs/>
                <w:sz w:val="24"/>
              </w:rPr>
              <w:t>学校将衔接教育安排进课表（4），并按计划开展主题教育活动（6）。</w:t>
            </w:r>
          </w:p>
        </w:tc>
        <w:tc>
          <w:tcPr>
            <w:tcW w:w="790" w:type="dxa"/>
            <w:tcBorders>
              <w:top w:val="single" w:color="auto" w:sz="4" w:space="0"/>
              <w:lef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jc w:val="center"/>
        </w:trPr>
        <w:tc>
          <w:tcPr>
            <w:tcW w:w="1176" w:type="dxa"/>
            <w:vMerge w:val="continue"/>
            <w:noWrap w:val="0"/>
            <w:vAlign w:val="center"/>
          </w:tcPr>
          <w:p>
            <w:pPr>
              <w:spacing w:line="320" w:lineRule="exact"/>
              <w:rPr>
                <w:rFonts w:hint="eastAsia" w:ascii="仿宋_GB2312" w:hAnsi="仿宋" w:cs="仿宋_GB2312"/>
                <w:bCs/>
                <w:sz w:val="24"/>
              </w:rPr>
            </w:pPr>
          </w:p>
        </w:tc>
        <w:tc>
          <w:tcPr>
            <w:tcW w:w="633" w:type="dxa"/>
            <w:tcBorders>
              <w:top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B6</w:t>
            </w:r>
          </w:p>
        </w:tc>
        <w:tc>
          <w:tcPr>
            <w:tcW w:w="1276"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课程教学</w:t>
            </w:r>
          </w:p>
        </w:tc>
        <w:tc>
          <w:tcPr>
            <w:tcW w:w="5305" w:type="dxa"/>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cs="仿宋_GB2312"/>
                <w:bCs/>
                <w:sz w:val="24"/>
              </w:rPr>
            </w:pPr>
            <w:r>
              <w:rPr>
                <w:rFonts w:hint="eastAsia" w:ascii="仿宋_GB2312" w:hAnsi="仿宋" w:cs="仿宋_GB2312"/>
                <w:bCs/>
                <w:sz w:val="24"/>
              </w:rPr>
              <w:t>调整一年级的课堂教学，以游戏化、生活化和综合化为重要教学方式，强化儿童主体探究性、体验式学习（8）。零起点教学和教师观念转变情况（4）。</w:t>
            </w:r>
          </w:p>
        </w:tc>
        <w:tc>
          <w:tcPr>
            <w:tcW w:w="790" w:type="dxa"/>
            <w:tcBorders>
              <w:top w:val="single" w:color="auto" w:sz="4" w:space="0"/>
              <w:lef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1176" w:type="dxa"/>
            <w:vMerge w:val="restart"/>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A3</w:t>
            </w:r>
          </w:p>
          <w:p>
            <w:pPr>
              <w:jc w:val="center"/>
              <w:rPr>
                <w:rFonts w:hint="eastAsia" w:ascii="仿宋_GB2312" w:hAnsi="仿宋" w:cs="仿宋_GB2312"/>
                <w:bCs/>
                <w:sz w:val="24"/>
              </w:rPr>
            </w:pPr>
            <w:r>
              <w:rPr>
                <w:rFonts w:hint="eastAsia" w:ascii="仿宋_GB2312" w:hAnsi="仿宋" w:cs="仿宋_GB2312"/>
                <w:bCs/>
                <w:sz w:val="24"/>
              </w:rPr>
              <w:t>园校协作</w:t>
            </w:r>
          </w:p>
          <w:p>
            <w:pPr>
              <w:jc w:val="center"/>
              <w:rPr>
                <w:sz w:val="24"/>
              </w:rPr>
            </w:pPr>
            <w:r>
              <w:rPr>
                <w:rFonts w:hint="eastAsia" w:ascii="仿宋_GB2312" w:hAnsi="仿宋" w:cs="仿宋_GB2312"/>
                <w:bCs/>
                <w:sz w:val="24"/>
              </w:rPr>
              <w:t>（30分）</w:t>
            </w:r>
          </w:p>
        </w:tc>
        <w:tc>
          <w:tcPr>
            <w:tcW w:w="633" w:type="dxa"/>
            <w:tcBorders>
              <w:bottom w:val="single" w:color="auto" w:sz="4" w:space="0"/>
              <w:right w:val="single" w:color="auto" w:sz="4" w:space="0"/>
            </w:tcBorders>
            <w:noWrap w:val="0"/>
            <w:vAlign w:val="center"/>
          </w:tcPr>
          <w:p>
            <w:pPr>
              <w:spacing w:line="320" w:lineRule="exact"/>
              <w:jc w:val="center"/>
              <w:rPr>
                <w:rFonts w:ascii="仿宋_GB2312" w:hAnsi="仿宋" w:cs="仿宋_GB2312"/>
                <w:bCs/>
                <w:sz w:val="24"/>
              </w:rPr>
            </w:pPr>
            <w:r>
              <w:rPr>
                <w:rFonts w:hint="eastAsia" w:ascii="仿宋_GB2312" w:hAnsi="仿宋" w:cs="仿宋_GB2312"/>
                <w:bCs/>
                <w:sz w:val="24"/>
              </w:rPr>
              <w:t>B7</w:t>
            </w:r>
          </w:p>
        </w:tc>
        <w:tc>
          <w:tcPr>
            <w:tcW w:w="1276"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机制建立</w:t>
            </w:r>
          </w:p>
        </w:tc>
        <w:tc>
          <w:tcPr>
            <w:tcW w:w="5305" w:type="dxa"/>
            <w:tcBorders>
              <w:left w:val="single" w:color="auto" w:sz="4" w:space="0"/>
              <w:bottom w:val="single" w:color="auto" w:sz="4" w:space="0"/>
              <w:right w:val="single" w:color="auto" w:sz="4" w:space="0"/>
            </w:tcBorders>
            <w:noWrap w:val="0"/>
            <w:vAlign w:val="center"/>
          </w:tcPr>
          <w:p>
            <w:pPr>
              <w:spacing w:line="320" w:lineRule="exact"/>
              <w:rPr>
                <w:rFonts w:hint="eastAsia" w:ascii="仿宋_GB2312" w:hAnsi="仿宋" w:cs="仿宋_GB2312"/>
                <w:bCs/>
                <w:sz w:val="24"/>
              </w:rPr>
            </w:pPr>
            <w:r>
              <w:rPr>
                <w:rFonts w:hint="eastAsia" w:ascii="仿宋_GB2312" w:hAnsi="仿宋" w:cs="仿宋_GB2312"/>
                <w:bCs/>
                <w:sz w:val="24"/>
              </w:rPr>
              <w:t>建立稳定的园校工作机制、联合教研等机制（4），并落实到工作中（6）。</w:t>
            </w:r>
          </w:p>
        </w:tc>
        <w:tc>
          <w:tcPr>
            <w:tcW w:w="790" w:type="dxa"/>
            <w:tcBorders>
              <w:left w:val="single" w:color="auto" w:sz="4" w:space="0"/>
              <w:bottom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176" w:type="dxa"/>
            <w:vMerge w:val="continue"/>
            <w:noWrap w:val="0"/>
            <w:vAlign w:val="center"/>
          </w:tcPr>
          <w:p>
            <w:pPr>
              <w:spacing w:line="320" w:lineRule="exact"/>
              <w:jc w:val="center"/>
              <w:rPr>
                <w:rFonts w:hint="eastAsia" w:ascii="仿宋_GB2312" w:hAnsi="仿宋" w:cs="仿宋_GB2312"/>
                <w:bCs/>
                <w:sz w:val="24"/>
              </w:rPr>
            </w:pPr>
          </w:p>
        </w:tc>
        <w:tc>
          <w:tcPr>
            <w:tcW w:w="63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制定计划</w:t>
            </w:r>
          </w:p>
        </w:tc>
        <w:tc>
          <w:tcPr>
            <w:tcW w:w="53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cs="仿宋_GB2312"/>
                <w:bCs/>
                <w:sz w:val="24"/>
              </w:rPr>
            </w:pPr>
            <w:r>
              <w:rPr>
                <w:rFonts w:hint="eastAsia" w:ascii="仿宋_GB2312" w:hAnsi="仿宋" w:cs="仿宋_GB2312"/>
                <w:bCs/>
                <w:sz w:val="24"/>
              </w:rPr>
              <w:t>一年级上学期和大班下学期应联合制定分别以小学和幼儿园为重点的园校衔接活动计划（6）并加以落实（2）。</w:t>
            </w:r>
          </w:p>
        </w:tc>
        <w:tc>
          <w:tcPr>
            <w:tcW w:w="790"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jc w:val="center"/>
        </w:trPr>
        <w:tc>
          <w:tcPr>
            <w:tcW w:w="1176" w:type="dxa"/>
            <w:vMerge w:val="continue"/>
            <w:noWrap w:val="0"/>
            <w:vAlign w:val="center"/>
          </w:tcPr>
          <w:p>
            <w:pPr>
              <w:spacing w:line="320" w:lineRule="exact"/>
              <w:jc w:val="center"/>
              <w:rPr>
                <w:rFonts w:hint="eastAsia" w:ascii="仿宋_GB2312" w:hAnsi="仿宋" w:cs="仿宋_GB2312"/>
                <w:bCs/>
                <w:sz w:val="24"/>
              </w:rPr>
            </w:pPr>
          </w:p>
        </w:tc>
        <w:tc>
          <w:tcPr>
            <w:tcW w:w="633" w:type="dxa"/>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B9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活动开展</w:t>
            </w:r>
          </w:p>
        </w:tc>
        <w:tc>
          <w:tcPr>
            <w:tcW w:w="53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cs="仿宋_GB2312"/>
                <w:bCs/>
                <w:sz w:val="24"/>
              </w:rPr>
            </w:pPr>
            <w:r>
              <w:rPr>
                <w:rFonts w:hint="eastAsia" w:ascii="仿宋_GB2312" w:hAnsi="仿宋" w:cs="仿宋_GB2312"/>
                <w:bCs/>
                <w:sz w:val="24"/>
              </w:rPr>
              <w:t>园校间按联合制定的学期活动计划共同开展幼小衔接教育教学活动（9），有明显成效（3）。</w:t>
            </w:r>
          </w:p>
        </w:tc>
        <w:tc>
          <w:tcPr>
            <w:tcW w:w="790"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jc w:val="center"/>
        </w:trPr>
        <w:tc>
          <w:tcPr>
            <w:tcW w:w="1176" w:type="dxa"/>
            <w:vMerge w:val="restart"/>
            <w:noWrap w:val="0"/>
            <w:vAlign w:val="center"/>
          </w:tcPr>
          <w:p>
            <w:pPr>
              <w:spacing w:line="320" w:lineRule="exact"/>
              <w:jc w:val="center"/>
              <w:rPr>
                <w:rFonts w:hint="eastAsia" w:ascii="仿宋_GB2312" w:hAnsi="仿宋" w:cs="仿宋_GB2312"/>
                <w:bCs/>
                <w:sz w:val="24"/>
              </w:rPr>
            </w:pPr>
            <w:r>
              <w:rPr>
                <w:rFonts w:hint="eastAsia" w:ascii="仿宋_GB2312" w:hAnsi="仿宋" w:cs="仿宋_GB2312"/>
                <w:bCs/>
                <w:sz w:val="24"/>
              </w:rPr>
              <w:t>A4</w:t>
            </w:r>
          </w:p>
          <w:p>
            <w:pPr>
              <w:jc w:val="center"/>
              <w:rPr>
                <w:rFonts w:hint="eastAsia" w:ascii="仿宋_GB2312" w:hAnsi="仿宋" w:cs="仿宋_GB2312"/>
                <w:bCs/>
                <w:sz w:val="24"/>
              </w:rPr>
            </w:pPr>
            <w:r>
              <w:rPr>
                <w:rFonts w:hint="eastAsia" w:ascii="仿宋_GB2312" w:hAnsi="仿宋" w:cs="仿宋_GB2312"/>
                <w:bCs/>
                <w:sz w:val="24"/>
              </w:rPr>
              <w:t>家校共育</w:t>
            </w:r>
          </w:p>
          <w:p>
            <w:pPr>
              <w:spacing w:line="320" w:lineRule="exact"/>
              <w:jc w:val="center"/>
              <w:rPr>
                <w:sz w:val="24"/>
              </w:rPr>
            </w:pPr>
            <w:r>
              <w:rPr>
                <w:rFonts w:hint="eastAsia" w:ascii="仿宋_GB2312" w:hAnsi="仿宋" w:cs="仿宋_GB2312"/>
                <w:bCs/>
                <w:sz w:val="24"/>
              </w:rPr>
              <w:t>（20分）</w:t>
            </w:r>
          </w:p>
        </w:tc>
        <w:tc>
          <w:tcPr>
            <w:tcW w:w="633" w:type="dxa"/>
            <w:tcBorders>
              <w:bottom w:val="single" w:color="auto" w:sz="4" w:space="0"/>
              <w:right w:val="single" w:color="auto" w:sz="4" w:space="0"/>
            </w:tcBorders>
            <w:noWrap w:val="0"/>
            <w:vAlign w:val="center"/>
          </w:tcPr>
          <w:p>
            <w:pPr>
              <w:jc w:val="center"/>
              <w:rPr>
                <w:sz w:val="24"/>
              </w:rPr>
            </w:pPr>
            <w:r>
              <w:rPr>
                <w:rFonts w:hint="eastAsia" w:ascii="仿宋_GB2312" w:hAnsi="仿宋" w:cs="仿宋_GB2312"/>
                <w:bCs/>
                <w:sz w:val="24"/>
              </w:rPr>
              <w:t>B10</w:t>
            </w:r>
          </w:p>
        </w:tc>
        <w:tc>
          <w:tcPr>
            <w:tcW w:w="1276" w:type="dxa"/>
            <w:tcBorders>
              <w:left w:val="single" w:color="auto" w:sz="4" w:space="0"/>
              <w:bottom w:val="single" w:color="auto" w:sz="4" w:space="0"/>
              <w:right w:val="single" w:color="auto" w:sz="4" w:space="0"/>
            </w:tcBorders>
            <w:noWrap w:val="0"/>
            <w:vAlign w:val="center"/>
          </w:tcPr>
          <w:p>
            <w:pPr>
              <w:jc w:val="center"/>
              <w:rPr>
                <w:rFonts w:hint="eastAsia" w:ascii="仿宋_GB2312" w:hAnsi="仿宋" w:cs="仿宋_GB2312"/>
                <w:bCs/>
                <w:sz w:val="24"/>
              </w:rPr>
            </w:pPr>
            <w:r>
              <w:rPr>
                <w:rFonts w:hint="eastAsia" w:ascii="仿宋_GB2312" w:hAnsi="仿宋" w:cs="仿宋_GB2312"/>
                <w:bCs/>
                <w:sz w:val="24"/>
              </w:rPr>
              <w:t>家庭教育指导</w:t>
            </w:r>
          </w:p>
        </w:tc>
        <w:tc>
          <w:tcPr>
            <w:tcW w:w="5305" w:type="dxa"/>
            <w:tcBorders>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根据《小学入学适应教育指导要点》科学指导家长配合学校开展好幼小衔接家庭教育（5）。</w:t>
            </w:r>
          </w:p>
        </w:tc>
        <w:tc>
          <w:tcPr>
            <w:tcW w:w="790" w:type="dxa"/>
            <w:tcBorders>
              <w:left w:val="single" w:color="auto" w:sz="4" w:space="0"/>
              <w:bottom w:val="single" w:color="auto" w:sz="4" w:space="0"/>
            </w:tcBorders>
            <w:noWrap w:val="0"/>
            <w:vAlign w:val="center"/>
          </w:tcPr>
          <w:p>
            <w:pPr>
              <w:jc w:val="center"/>
              <w:rPr>
                <w:rFonts w:hint="eastAsia"/>
                <w:sz w:val="24"/>
              </w:rPr>
            </w:pPr>
            <w:r>
              <w:rPr>
                <w:rFonts w:hint="eastAsia"/>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176" w:type="dxa"/>
            <w:vMerge w:val="continue"/>
            <w:noWrap w:val="0"/>
            <w:vAlign w:val="center"/>
          </w:tcPr>
          <w:p>
            <w:pPr>
              <w:spacing w:line="320" w:lineRule="exact"/>
              <w:jc w:val="center"/>
              <w:rPr>
                <w:rFonts w:hint="eastAsia" w:ascii="仿宋_GB2312" w:hAnsi="仿宋" w:cs="仿宋_GB2312"/>
                <w:bCs/>
                <w:sz w:val="24"/>
              </w:rPr>
            </w:pPr>
          </w:p>
        </w:tc>
        <w:tc>
          <w:tcPr>
            <w:tcW w:w="633" w:type="dxa"/>
            <w:tcBorders>
              <w:top w:val="single" w:color="auto" w:sz="4" w:space="0"/>
              <w:bottom w:val="single" w:color="auto" w:sz="4" w:space="0"/>
              <w:right w:val="single" w:color="auto" w:sz="4" w:space="0"/>
            </w:tcBorders>
            <w:noWrap w:val="0"/>
            <w:vAlign w:val="center"/>
          </w:tcPr>
          <w:p>
            <w:pPr>
              <w:jc w:val="center"/>
              <w:rPr>
                <w:sz w:val="24"/>
              </w:rPr>
            </w:pPr>
            <w:r>
              <w:rPr>
                <w:rFonts w:hint="eastAsia" w:ascii="仿宋_GB2312" w:hAnsi="仿宋" w:cs="仿宋_GB2312"/>
                <w:bCs/>
                <w:sz w:val="24"/>
              </w:rPr>
              <w:t>B11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cs="仿宋_GB2312"/>
                <w:bCs/>
                <w:sz w:val="24"/>
              </w:rPr>
            </w:pPr>
            <w:r>
              <w:rPr>
                <w:rFonts w:hint="eastAsia" w:ascii="仿宋_GB2312" w:hAnsi="仿宋" w:cs="仿宋_GB2312"/>
                <w:bCs/>
                <w:sz w:val="24"/>
              </w:rPr>
              <w:t>活动开展</w:t>
            </w:r>
          </w:p>
        </w:tc>
        <w:tc>
          <w:tcPr>
            <w:tcW w:w="5305"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rPr>
              <w:t>学校协同家庭共同开展幼小衔接相关活动。</w:t>
            </w:r>
          </w:p>
        </w:tc>
        <w:tc>
          <w:tcPr>
            <w:tcW w:w="790" w:type="dxa"/>
            <w:tcBorders>
              <w:top w:val="single" w:color="auto" w:sz="4" w:space="0"/>
              <w:left w:val="single" w:color="auto" w:sz="4" w:space="0"/>
              <w:bottom w:val="single" w:color="auto" w:sz="4" w:space="0"/>
            </w:tcBorders>
            <w:noWrap w:val="0"/>
            <w:vAlign w:val="center"/>
          </w:tcPr>
          <w:p>
            <w:pPr>
              <w:jc w:val="center"/>
              <w:rPr>
                <w:rFonts w:hint="eastAsia"/>
                <w:sz w:val="24"/>
              </w:rPr>
            </w:pPr>
            <w:r>
              <w:rPr>
                <w:rFonts w:hint="eastAsia"/>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1176" w:type="dxa"/>
            <w:vMerge w:val="continue"/>
            <w:noWrap w:val="0"/>
            <w:vAlign w:val="center"/>
          </w:tcPr>
          <w:p>
            <w:pPr>
              <w:spacing w:line="320" w:lineRule="exact"/>
              <w:jc w:val="center"/>
              <w:rPr>
                <w:rFonts w:hint="eastAsia" w:ascii="仿宋_GB2312" w:hAnsi="仿宋" w:cs="仿宋_GB2312"/>
                <w:bCs/>
                <w:sz w:val="24"/>
              </w:rPr>
            </w:pPr>
          </w:p>
        </w:tc>
        <w:tc>
          <w:tcPr>
            <w:tcW w:w="633" w:type="dxa"/>
            <w:tcBorders>
              <w:top w:val="single" w:color="auto" w:sz="4" w:space="0"/>
              <w:right w:val="single" w:color="auto" w:sz="4" w:space="0"/>
            </w:tcBorders>
            <w:noWrap w:val="0"/>
            <w:vAlign w:val="center"/>
          </w:tcPr>
          <w:p>
            <w:pPr>
              <w:jc w:val="center"/>
              <w:rPr>
                <w:rFonts w:hint="eastAsia" w:ascii="宋体" w:hAnsi="宋体"/>
                <w:sz w:val="24"/>
              </w:rPr>
            </w:pPr>
            <w:r>
              <w:rPr>
                <w:rFonts w:hint="eastAsia" w:ascii="仿宋_GB2312" w:hAnsi="仿宋" w:cs="仿宋_GB2312"/>
                <w:bCs/>
                <w:sz w:val="24"/>
              </w:rPr>
              <w:t>B12</w:t>
            </w:r>
          </w:p>
        </w:tc>
        <w:tc>
          <w:tcPr>
            <w:tcW w:w="1276" w:type="dxa"/>
            <w:tcBorders>
              <w:top w:val="single" w:color="auto" w:sz="4" w:space="0"/>
              <w:left w:val="single" w:color="auto" w:sz="4" w:space="0"/>
              <w:right w:val="single" w:color="auto" w:sz="4" w:space="0"/>
            </w:tcBorders>
            <w:noWrap w:val="0"/>
            <w:vAlign w:val="center"/>
          </w:tcPr>
          <w:p>
            <w:pPr>
              <w:jc w:val="center"/>
              <w:rPr>
                <w:rFonts w:hint="eastAsia" w:ascii="仿宋_GB2312" w:hAnsi="仿宋" w:cs="仿宋_GB2312"/>
                <w:bCs/>
                <w:sz w:val="24"/>
              </w:rPr>
            </w:pPr>
            <w:r>
              <w:rPr>
                <w:rFonts w:hint="eastAsia" w:ascii="仿宋_GB2312" w:hAnsi="仿宋" w:cs="仿宋_GB2312"/>
                <w:bCs/>
                <w:sz w:val="24"/>
              </w:rPr>
              <w:t>特色亮点</w:t>
            </w:r>
          </w:p>
        </w:tc>
        <w:tc>
          <w:tcPr>
            <w:tcW w:w="5305" w:type="dxa"/>
            <w:tcBorders>
              <w:top w:val="single" w:color="auto" w:sz="4" w:space="0"/>
              <w:left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（此项评估内容可涵盖全部评估范围）</w:t>
            </w:r>
          </w:p>
        </w:tc>
        <w:tc>
          <w:tcPr>
            <w:tcW w:w="790" w:type="dxa"/>
            <w:tcBorders>
              <w:top w:val="single" w:color="auto" w:sz="4" w:space="0"/>
              <w:left w:val="single" w:color="auto" w:sz="4" w:space="0"/>
            </w:tcBorders>
            <w:noWrap w:val="0"/>
            <w:vAlign w:val="center"/>
          </w:tcPr>
          <w:p>
            <w:pPr>
              <w:jc w:val="center"/>
              <w:rPr>
                <w:rFonts w:hint="eastAsia" w:ascii="宋体" w:hAnsi="宋体"/>
                <w:sz w:val="24"/>
              </w:rPr>
            </w:pPr>
            <w:r>
              <w:rPr>
                <w:rFonts w:hint="eastAsia" w:ascii="宋体" w:hAnsi="宋体"/>
                <w:sz w:val="24"/>
              </w:rPr>
              <w:t>7</w:t>
            </w:r>
          </w:p>
        </w:tc>
      </w:tr>
    </w:tbl>
    <w:p>
      <w:pPr>
        <w:jc w:val="center"/>
        <w:rPr>
          <w:rFonts w:hint="eastAsia"/>
        </w:rPr>
      </w:pPr>
    </w:p>
    <w:p>
      <w:bookmarkStart w:id="0" w:name="_GoBack"/>
      <w:bookmarkEnd w:id="0"/>
    </w:p>
    <w:sectPr>
      <w:headerReference r:id="rId3" w:type="default"/>
      <w:footerReference r:id="rId4" w:type="default"/>
      <w:footerReference r:id="rId5" w:type="even"/>
      <w:pgSz w:w="11906" w:h="16838"/>
      <w:pgMar w:top="1418" w:right="1531" w:bottom="1701"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N2JjNTM0NzRmOWY5MGZiZTczNGRiNGU3NmUzYTEifQ=="/>
  </w:docVars>
  <w:rsids>
    <w:rsidRoot w:val="00000000"/>
    <w:rsid w:val="1EE54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2023-12-21T09:11:11Z</dcterms:created>
  <dc:creator>65167</dc:creator>
  <cp:lastModifiedBy>WPS_1691396791</cp:lastModifiedBy>
  <dcterms:modified xsi:type="dcterms:W3CDTF">2023-12-21T09:11:19Z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8FF4251FA32D44958B06309B45C55326_12</vt:lpwstr>
  </property>
</Properties>
</file>