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25" w:rsidRDefault="00416D86">
      <w:pPr>
        <w:pStyle w:val="3"/>
        <w:spacing w:line="600" w:lineRule="exact"/>
        <w:jc w:val="both"/>
        <w:rPr>
          <w:rFonts w:ascii="仿宋_GB2312" w:eastAsia="仿宋_GB2312" w:hAnsi="仿宋" w:cs="仿宋_GB2312"/>
          <w:bCs w:val="0"/>
          <w:sz w:val="32"/>
          <w:szCs w:val="32"/>
        </w:rPr>
      </w:pPr>
      <w:r>
        <w:rPr>
          <w:rFonts w:ascii="仿宋_GB2312" w:eastAsia="仿宋_GB2312" w:hAnsi="仿宋" w:cs="仿宋_GB2312" w:hint="eastAsia"/>
          <w:bCs w:val="0"/>
          <w:sz w:val="32"/>
          <w:szCs w:val="32"/>
        </w:rPr>
        <w:t>自评报表填写要求如下：</w:t>
      </w:r>
    </w:p>
    <w:p w:rsidR="00281025" w:rsidRDefault="00416D86">
      <w:pPr>
        <w:pStyle w:val="3"/>
        <w:spacing w:line="600" w:lineRule="exact"/>
        <w:ind w:firstLineChars="200" w:firstLine="600"/>
        <w:jc w:val="both"/>
        <w:rPr>
          <w:rFonts w:ascii="仿宋_GB2312" w:eastAsia="仿宋_GB2312" w:hAnsi="仿宋" w:cs="Times New Roman"/>
          <w:b w:val="0"/>
          <w:bCs w:val="0"/>
          <w:sz w:val="30"/>
          <w:szCs w:val="30"/>
        </w:rPr>
      </w:pP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1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、此次上报统计的是</w:t>
      </w: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20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2</w:t>
      </w:r>
      <w:bookmarkStart w:id="0" w:name="_GoBack"/>
      <w:bookmarkEnd w:id="0"/>
      <w:r w:rsidR="003E27DF"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2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年度学校艺术教育情况。</w:t>
      </w:r>
    </w:p>
    <w:p w:rsidR="00281025" w:rsidRDefault="00416D86">
      <w:pPr>
        <w:pStyle w:val="3"/>
        <w:spacing w:line="600" w:lineRule="exact"/>
        <w:ind w:firstLineChars="200" w:firstLine="600"/>
        <w:jc w:val="both"/>
        <w:rPr>
          <w:rFonts w:ascii="仿宋_GB2312" w:eastAsia="仿宋_GB2312" w:hAnsi="仿宋" w:cs="Times New Roman"/>
          <w:color w:val="FFCC00"/>
          <w:sz w:val="30"/>
          <w:szCs w:val="30"/>
        </w:rPr>
      </w:pP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2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、艺术课程总数（</w:t>
      </w:r>
      <w:r>
        <w:rPr>
          <w:rFonts w:ascii="仿宋_GB2312" w:eastAsia="仿宋_GB2312" w:cs="仿宋_GB2312" w:hint="eastAsia"/>
          <w:sz w:val="30"/>
          <w:szCs w:val="30"/>
        </w:rPr>
        <w:t>课时</w:t>
      </w:r>
      <w:r>
        <w:rPr>
          <w:rFonts w:ascii="仿宋_GB2312" w:eastAsia="仿宋_GB2312" w:cs="仿宋_GB2312"/>
          <w:sz w:val="30"/>
          <w:szCs w:val="30"/>
        </w:rPr>
        <w:t>/</w:t>
      </w:r>
      <w:r>
        <w:rPr>
          <w:rFonts w:ascii="仿宋_GB2312" w:eastAsia="仿宋_GB2312" w:cs="仿宋_GB2312" w:hint="eastAsia"/>
          <w:sz w:val="30"/>
          <w:szCs w:val="30"/>
        </w:rPr>
        <w:t>周）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：是指学校每周实际开设音乐、美术周课时总数（不包括校本课程和艺术团活动等课时）。从教研室了解到目前我市学校艺术课程周课时数：小学每周在</w:t>
      </w: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4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课时左右；初中</w:t>
      </w: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2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课时左右；高中在两个艺术必修课程和一个模块中计算课时。</w:t>
      </w:r>
    </w:p>
    <w:p w:rsidR="00281025" w:rsidRDefault="00416D86">
      <w:pPr>
        <w:pStyle w:val="3"/>
        <w:spacing w:line="600" w:lineRule="exact"/>
        <w:ind w:firstLineChars="200" w:firstLine="600"/>
        <w:jc w:val="both"/>
        <w:rPr>
          <w:rFonts w:ascii="仿宋_GB2312" w:eastAsia="仿宋_GB2312" w:hAnsi="仿宋" w:cs="仿宋_GB2312"/>
          <w:b w:val="0"/>
          <w:bCs w:val="0"/>
          <w:sz w:val="30"/>
          <w:szCs w:val="30"/>
        </w:rPr>
      </w:pP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3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、艺术节活动场次：指学年内学校在开展艺术节期间组织的各项活动的场次汇总。</w:t>
      </w:r>
    </w:p>
    <w:p w:rsidR="00281025" w:rsidRDefault="00416D86">
      <w:pPr>
        <w:pStyle w:val="3"/>
        <w:spacing w:line="600" w:lineRule="exact"/>
        <w:ind w:firstLineChars="200" w:firstLine="600"/>
        <w:jc w:val="both"/>
        <w:rPr>
          <w:rFonts w:ascii="仿宋_GB2312" w:eastAsia="仿宋_GB2312" w:hAnsi="Calibri" w:cs="Times New Roman"/>
          <w:b w:val="0"/>
          <w:bCs w:val="0"/>
          <w:sz w:val="30"/>
          <w:szCs w:val="30"/>
        </w:rPr>
      </w:pPr>
      <w:r>
        <w:rPr>
          <w:rFonts w:ascii="仿宋_GB2312" w:eastAsia="仿宋_GB2312" w:hAnsi="Calibri" w:cs="Calibri"/>
          <w:b w:val="0"/>
          <w:bCs w:val="0"/>
          <w:sz w:val="30"/>
          <w:szCs w:val="30"/>
        </w:rPr>
        <w:t>4</w:t>
      </w:r>
      <w:r>
        <w:rPr>
          <w:rFonts w:ascii="仿宋_GB2312" w:eastAsia="仿宋_GB2312" w:hAnsi="Calibri" w:cs="仿宋_GB2312" w:hint="eastAsia"/>
          <w:b w:val="0"/>
          <w:bCs w:val="0"/>
          <w:sz w:val="30"/>
          <w:szCs w:val="30"/>
        </w:rPr>
        <w:t>、艺术教师师生比：按照</w:t>
      </w: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1(</w:t>
      </w:r>
      <w:r>
        <w:rPr>
          <w:rFonts w:ascii="仿宋_GB2312" w:eastAsia="仿宋_GB2312" w:hAnsi="Calibri" w:cs="仿宋_GB2312" w:hint="eastAsia"/>
          <w:b w:val="0"/>
          <w:bCs w:val="0"/>
          <w:sz w:val="30"/>
          <w:szCs w:val="30"/>
        </w:rPr>
        <w:t>（教师）：</w:t>
      </w:r>
      <w:r>
        <w:rPr>
          <w:rFonts w:ascii="仿宋_GB2312" w:eastAsia="仿宋_GB2312" w:hAnsi="仿宋" w:cs="Calibri" w:hint="eastAsia"/>
          <w:b w:val="0"/>
          <w:bCs w:val="0"/>
          <w:sz w:val="30"/>
          <w:szCs w:val="30"/>
        </w:rPr>
        <w:t>※（学生）</w:t>
      </w:r>
      <w:r>
        <w:rPr>
          <w:rFonts w:ascii="仿宋_GB2312" w:eastAsia="仿宋_GB2312" w:hAnsi="Calibri" w:cs="仿宋_GB2312" w:hint="eastAsia"/>
          <w:b w:val="0"/>
          <w:bCs w:val="0"/>
          <w:sz w:val="30"/>
          <w:szCs w:val="30"/>
        </w:rPr>
        <w:t>的格式填写，只计算学生和专职艺术教师的比例（填写时请注意要求是师生比还是生师比）。</w:t>
      </w:r>
    </w:p>
    <w:p w:rsidR="00281025" w:rsidRDefault="00416D86">
      <w:pPr>
        <w:pStyle w:val="3"/>
        <w:spacing w:line="600" w:lineRule="exact"/>
        <w:ind w:firstLineChars="200" w:firstLine="600"/>
        <w:jc w:val="both"/>
        <w:rPr>
          <w:rFonts w:ascii="仿宋_GB2312" w:eastAsia="仿宋_GB2312" w:hAnsi="Calibri" w:cs="仿宋_GB2312"/>
          <w:b w:val="0"/>
          <w:bCs w:val="0"/>
          <w:sz w:val="30"/>
          <w:szCs w:val="30"/>
        </w:rPr>
      </w:pP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5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、</w:t>
      </w:r>
      <w:r>
        <w:rPr>
          <w:rFonts w:ascii="仿宋_GB2312" w:eastAsia="仿宋_GB2312" w:hAnsi="Calibri" w:cs="仿宋_GB2312" w:hint="eastAsia"/>
          <w:b w:val="0"/>
          <w:bCs w:val="0"/>
          <w:sz w:val="30"/>
          <w:szCs w:val="30"/>
        </w:rPr>
        <w:t>专职艺术教师人数：各校艺术专业院校毕业现从事对口艺术教学的教师人数。</w:t>
      </w:r>
    </w:p>
    <w:p w:rsidR="00281025" w:rsidRDefault="00416D86">
      <w:pPr>
        <w:pStyle w:val="3"/>
        <w:spacing w:line="600" w:lineRule="exact"/>
        <w:ind w:firstLineChars="200" w:firstLine="600"/>
        <w:jc w:val="both"/>
        <w:rPr>
          <w:rFonts w:ascii="仿宋_GB2312" w:eastAsia="仿宋_GB2312" w:hAnsi="仿宋" w:cs="Times New Roman"/>
          <w:b w:val="0"/>
          <w:bCs w:val="0"/>
          <w:sz w:val="30"/>
          <w:szCs w:val="30"/>
        </w:rPr>
      </w:pP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6</w:t>
      </w:r>
      <w:r>
        <w:rPr>
          <w:rFonts w:ascii="仿宋_GB2312" w:eastAsia="仿宋_GB2312" w:hAnsi="Calibri" w:cs="仿宋_GB2312" w:hint="eastAsia"/>
          <w:b w:val="0"/>
          <w:bCs w:val="0"/>
          <w:sz w:val="30"/>
          <w:szCs w:val="30"/>
        </w:rPr>
        <w:t>、兼职艺术教师人数：各校非艺术类专业教师或不在学校编制内艺术院校毕业的人员，学年内在学校从事艺术教学工作的人数。</w:t>
      </w:r>
    </w:p>
    <w:p w:rsidR="00281025" w:rsidRDefault="00416D86">
      <w:pPr>
        <w:pStyle w:val="3"/>
        <w:spacing w:line="600" w:lineRule="exact"/>
        <w:ind w:firstLineChars="200" w:firstLine="600"/>
        <w:jc w:val="both"/>
        <w:rPr>
          <w:rFonts w:ascii="仿宋_GB2312" w:eastAsia="仿宋_GB2312" w:hAnsi="Calibri" w:cs="仿宋_GB2312"/>
          <w:b w:val="0"/>
          <w:bCs w:val="0"/>
          <w:sz w:val="30"/>
          <w:szCs w:val="30"/>
        </w:rPr>
      </w:pP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7</w:t>
      </w:r>
      <w:r>
        <w:rPr>
          <w:rFonts w:ascii="仿宋_GB2312" w:eastAsia="仿宋_GB2312" w:hAnsi="Calibri" w:cs="仿宋_GB2312" w:hint="eastAsia"/>
          <w:b w:val="0"/>
          <w:bCs w:val="0"/>
          <w:sz w:val="30"/>
          <w:szCs w:val="30"/>
        </w:rPr>
        <w:t>、艺术教师缺额人数：按照义务教育阶段音乐、美术专职教师配备标准：小学每</w:t>
      </w: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7</w:t>
      </w: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—</w:t>
      </w: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9</w:t>
      </w:r>
      <w:r>
        <w:rPr>
          <w:rFonts w:ascii="仿宋_GB2312" w:eastAsia="仿宋_GB2312" w:hAnsi="Calibri" w:cs="仿宋_GB2312" w:hint="eastAsia"/>
          <w:b w:val="0"/>
          <w:bCs w:val="0"/>
          <w:sz w:val="30"/>
          <w:szCs w:val="30"/>
        </w:rPr>
        <w:t>个班配备</w:t>
      </w: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1</w:t>
      </w:r>
      <w:r>
        <w:rPr>
          <w:rFonts w:ascii="仿宋_GB2312" w:eastAsia="仿宋_GB2312" w:hAnsi="Calibri" w:cs="仿宋_GB2312" w:hint="eastAsia"/>
          <w:b w:val="0"/>
          <w:bCs w:val="0"/>
          <w:sz w:val="30"/>
          <w:szCs w:val="30"/>
        </w:rPr>
        <w:t>名音乐教师和</w:t>
      </w: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1</w:t>
      </w:r>
      <w:r>
        <w:rPr>
          <w:rFonts w:ascii="仿宋_GB2312" w:eastAsia="仿宋_GB2312" w:hAnsi="Calibri" w:cs="仿宋_GB2312" w:hint="eastAsia"/>
          <w:b w:val="0"/>
          <w:bCs w:val="0"/>
          <w:sz w:val="30"/>
          <w:szCs w:val="30"/>
        </w:rPr>
        <w:t>名美术教师，初中每</w:t>
      </w: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14</w:t>
      </w: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—</w:t>
      </w: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16</w:t>
      </w:r>
      <w:r>
        <w:rPr>
          <w:rFonts w:ascii="仿宋_GB2312" w:eastAsia="仿宋_GB2312" w:hAnsi="Calibri" w:cs="仿宋_GB2312" w:hint="eastAsia"/>
          <w:b w:val="0"/>
          <w:bCs w:val="0"/>
          <w:sz w:val="30"/>
          <w:szCs w:val="30"/>
        </w:rPr>
        <w:t>个班配备</w:t>
      </w: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1</w:t>
      </w:r>
      <w:r>
        <w:rPr>
          <w:rFonts w:ascii="仿宋_GB2312" w:eastAsia="仿宋_GB2312" w:hAnsi="Calibri" w:cs="仿宋_GB2312" w:hint="eastAsia"/>
          <w:b w:val="0"/>
          <w:bCs w:val="0"/>
          <w:sz w:val="30"/>
          <w:szCs w:val="30"/>
        </w:rPr>
        <w:t>名音乐教师和</w:t>
      </w: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1</w:t>
      </w:r>
      <w:r>
        <w:rPr>
          <w:rFonts w:ascii="仿宋_GB2312" w:eastAsia="仿宋_GB2312" w:hAnsi="Calibri" w:cs="仿宋_GB2312" w:hint="eastAsia"/>
          <w:b w:val="0"/>
          <w:bCs w:val="0"/>
          <w:sz w:val="30"/>
          <w:szCs w:val="30"/>
        </w:rPr>
        <w:t>名美术教师。</w:t>
      </w:r>
    </w:p>
    <w:p w:rsidR="00281025" w:rsidRDefault="00416D86">
      <w:pPr>
        <w:pStyle w:val="3"/>
        <w:spacing w:line="600" w:lineRule="exact"/>
        <w:ind w:firstLineChars="200" w:firstLine="600"/>
        <w:jc w:val="both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8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、艺术教师平均周课时：按照学校专兼职艺术教师每周课时总数÷艺术教师总人数，得出该校艺术教师的平均周课时。</w:t>
      </w:r>
    </w:p>
    <w:p w:rsidR="00281025" w:rsidRDefault="00416D86">
      <w:pPr>
        <w:pStyle w:val="3"/>
        <w:spacing w:line="600" w:lineRule="exact"/>
        <w:ind w:firstLineChars="200" w:firstLine="600"/>
        <w:jc w:val="both"/>
        <w:rPr>
          <w:rFonts w:ascii="仿宋_GB2312" w:eastAsia="仿宋_GB2312" w:hAnsi="仿宋" w:cs="Times New Roman"/>
          <w:b w:val="0"/>
          <w:bCs w:val="0"/>
          <w:sz w:val="30"/>
          <w:szCs w:val="30"/>
        </w:rPr>
      </w:pP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lastRenderedPageBreak/>
        <w:t>9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、音乐、美术、舞蹈教室数：如有音乐、舞蹈教室共用的，只按照</w:t>
      </w: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1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间统计。</w:t>
      </w:r>
    </w:p>
    <w:p w:rsidR="00281025" w:rsidRDefault="00416D86">
      <w:pPr>
        <w:pStyle w:val="3"/>
        <w:spacing w:line="600" w:lineRule="exact"/>
        <w:ind w:firstLineChars="200" w:firstLine="600"/>
        <w:jc w:val="both"/>
        <w:rPr>
          <w:rFonts w:ascii="仿宋_GB2312" w:eastAsia="仿宋_GB2312" w:hAnsi="仿宋" w:cs="仿宋_GB2312"/>
          <w:b w:val="0"/>
          <w:bCs w:val="0"/>
          <w:sz w:val="30"/>
          <w:szCs w:val="30"/>
        </w:rPr>
      </w:pP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10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、艺术场管总数：是指除音乐、美术、舞蹈教室外，学校内可以开展艺术活动的报告厅、礼堂等场所数量的总和。</w:t>
      </w:r>
    </w:p>
    <w:p w:rsidR="00281025" w:rsidRDefault="00416D86">
      <w:pPr>
        <w:pStyle w:val="3"/>
        <w:spacing w:line="600" w:lineRule="exact"/>
        <w:ind w:firstLineChars="200" w:firstLine="600"/>
        <w:jc w:val="both"/>
        <w:rPr>
          <w:rFonts w:ascii="仿宋_GB2312" w:eastAsia="仿宋_GB2312" w:hAnsi="仿宋" w:cs="Times New Roman"/>
          <w:b w:val="0"/>
          <w:bCs w:val="0"/>
          <w:sz w:val="30"/>
          <w:szCs w:val="30"/>
        </w:rPr>
      </w:pPr>
      <w:r>
        <w:rPr>
          <w:rFonts w:ascii="仿宋_GB2312" w:eastAsia="仿宋_GB2312" w:hAnsi="Calibri" w:cs="仿宋_GB2312"/>
          <w:b w:val="0"/>
          <w:bCs w:val="0"/>
          <w:sz w:val="30"/>
          <w:szCs w:val="30"/>
        </w:rPr>
        <w:t>11</w:t>
      </w:r>
      <w:r>
        <w:rPr>
          <w:rFonts w:ascii="仿宋_GB2312" w:eastAsia="仿宋_GB2312" w:hAnsi="Calibri" w:cs="仿宋_GB2312" w:hint="eastAsia"/>
          <w:b w:val="0"/>
          <w:bCs w:val="0"/>
          <w:sz w:val="30"/>
          <w:szCs w:val="30"/>
        </w:rPr>
        <w:t>、课程开齐开足率按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照国家标准要求：九年义务教育学校艺术教育课程要达到总课时数的</w:t>
      </w: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11%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（小学每周</w:t>
      </w: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4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课时，每学年</w:t>
      </w: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140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课时左右。初中每周</w:t>
      </w: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2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课时，每学年</w:t>
      </w: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72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课时左右）。普通高中要保证艺术类必修课程</w:t>
      </w: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108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个课时、</w:t>
      </w: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6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个学分。中等职业学校将艺术课程纳入公共基础必修课，保证</w:t>
      </w:r>
      <w:r>
        <w:rPr>
          <w:rFonts w:ascii="仿宋_GB2312" w:eastAsia="仿宋_GB2312" w:hAnsi="仿宋" w:cs="仿宋_GB2312"/>
          <w:b w:val="0"/>
          <w:bCs w:val="0"/>
          <w:sz w:val="30"/>
          <w:szCs w:val="30"/>
        </w:rPr>
        <w:t>72</w:t>
      </w:r>
      <w:r>
        <w:rPr>
          <w:rFonts w:ascii="仿宋_GB2312" w:eastAsia="仿宋_GB2312" w:hAnsi="仿宋" w:cs="仿宋_GB2312" w:hint="eastAsia"/>
          <w:b w:val="0"/>
          <w:bCs w:val="0"/>
          <w:sz w:val="30"/>
          <w:szCs w:val="30"/>
        </w:rPr>
        <w:t>课时。</w:t>
      </w:r>
    </w:p>
    <w:p w:rsidR="00281025" w:rsidRDefault="00281025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81025" w:rsidRDefault="00281025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81025" w:rsidRDefault="00281025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81025" w:rsidRDefault="00416D86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学校艺术课程教学和艺术活动器材达标标准，按照《江苏省中小学教育技术装备标准》（“十二五”版）要求：</w:t>
      </w:r>
    </w:p>
    <w:p w:rsidR="00281025" w:rsidRDefault="00281025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281025" w:rsidRDefault="00281025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281025" w:rsidRDefault="00281025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281025" w:rsidRDefault="00281025">
      <w:pPr>
        <w:ind w:firstLineChars="200" w:firstLine="420"/>
      </w:pPr>
    </w:p>
    <w:p w:rsidR="00281025" w:rsidRDefault="00512AD1">
      <w:pPr>
        <w:ind w:firstLineChars="200" w:firstLine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85pt;height:43.45pt">
            <v:imagedata r:id="rId7" o:title=""/>
          </v:shape>
        </w:pict>
      </w:r>
      <w:r>
        <w:pict>
          <v:shape id="_x0000_i1026" type="#_x0000_t75" style="width:459.15pt;height:167.75pt">
            <v:imagedata r:id="rId8" o:title=""/>
          </v:shape>
        </w:pict>
      </w:r>
      <w:r w:rsidR="003E27DF">
        <w:lastRenderedPageBreak/>
        <w:pict>
          <v:shape id="_x0000_i1027" type="#_x0000_t75" style="width:398.05pt;height:225.5pt">
            <v:imagedata r:id="rId9" o:title=""/>
          </v:shape>
        </w:pict>
      </w:r>
    </w:p>
    <w:p w:rsidR="00281025" w:rsidRDefault="003E27DF">
      <w:r>
        <w:pict>
          <v:shape id="_x0000_i1028" type="#_x0000_t75" style="width:379.7pt;height:217.35pt">
            <v:imagedata r:id="rId10" o:title=""/>
          </v:shape>
        </w:pict>
      </w:r>
    </w:p>
    <w:p w:rsidR="00281025" w:rsidRDefault="003E27DF">
      <w:r>
        <w:pict>
          <v:shape id="_x0000_i1029" type="#_x0000_t75" style="width:103.25pt;height:27.15pt">
            <v:imagedata r:id="rId11" o:title=""/>
          </v:shape>
        </w:pict>
      </w:r>
    </w:p>
    <w:p w:rsidR="00281025" w:rsidRDefault="003E27DF">
      <w:r>
        <w:pict>
          <v:shape id="_x0000_i1030" type="#_x0000_t75" style="width:349.15pt;height:135.15pt">
            <v:imagedata r:id="rId12" o:title=""/>
          </v:shape>
        </w:pict>
      </w:r>
    </w:p>
    <w:p w:rsidR="00281025" w:rsidRDefault="003E27DF">
      <w:r>
        <w:pict>
          <v:shape id="_x0000_i1031" type="#_x0000_t75" style="width:413pt;height:37.35pt">
            <v:imagedata r:id="rId13" o:title=""/>
          </v:shape>
        </w:pict>
      </w:r>
      <w:r>
        <w:lastRenderedPageBreak/>
        <w:pict>
          <v:shape id="_x0000_i1032" type="#_x0000_t75" style="width:417.05pt;height:129.05pt">
            <v:imagedata r:id="rId14" o:title=""/>
          </v:shape>
        </w:pict>
      </w:r>
      <w:r>
        <w:pict>
          <v:shape id="_x0000_i1033" type="#_x0000_t75" style="width:408.25pt;height:225.5pt">
            <v:imagedata r:id="rId15" o:title=""/>
          </v:shape>
        </w:pict>
      </w:r>
      <w:r>
        <w:pict>
          <v:shape id="_x0000_i1034" type="#_x0000_t75" style="width:414.35pt;height:185.45pt">
            <v:imagedata r:id="rId16" o:title=""/>
          </v:shape>
        </w:pict>
      </w:r>
      <w:r>
        <w:pict>
          <v:shape id="_x0000_i1035" type="#_x0000_t75" style="width:413pt;height:101.9pt">
            <v:imagedata r:id="rId17" o:title=""/>
          </v:shape>
        </w:pict>
      </w:r>
      <w:r>
        <w:lastRenderedPageBreak/>
        <w:pict>
          <v:shape id="_x0000_i1036" type="#_x0000_t75" style="width:413pt;height:78.1pt">
            <v:imagedata r:id="rId18" o:title=""/>
          </v:shape>
        </w:pict>
      </w:r>
    </w:p>
    <w:p w:rsidR="00281025" w:rsidRDefault="00281025"/>
    <w:p w:rsidR="00281025" w:rsidRDefault="003E27DF">
      <w:pPr>
        <w:jc w:val="center"/>
      </w:pPr>
      <w:r>
        <w:pict>
          <v:shape id="_x0000_i1037" type="#_x0000_t75" style="width:256.1pt;height:39.4pt">
            <v:imagedata r:id="rId19" o:title=""/>
          </v:shape>
        </w:pict>
      </w:r>
    </w:p>
    <w:p w:rsidR="00281025" w:rsidRDefault="003E27DF">
      <w:r>
        <w:pict>
          <v:shape id="_x0000_i1038" type="#_x0000_t75" style="width:92.4pt;height:17.65pt">
            <v:imagedata r:id="rId20" o:title=""/>
          </v:shape>
        </w:pict>
      </w:r>
    </w:p>
    <w:p w:rsidR="00281025" w:rsidRDefault="003E27DF">
      <w:r>
        <w:pict>
          <v:shape id="_x0000_i1039" type="#_x0000_t75" style="width:411.6pt;height:138.55pt">
            <v:imagedata r:id="rId21" o:title=""/>
          </v:shape>
        </w:pict>
      </w:r>
    </w:p>
    <w:p w:rsidR="00281025" w:rsidRDefault="003E27DF">
      <w:r>
        <w:pict>
          <v:shape id="_x0000_i1040" type="#_x0000_t75" style="width:414.35pt;height:289.35pt">
            <v:imagedata r:id="rId22" o:title=""/>
          </v:shape>
        </w:pict>
      </w:r>
      <w:r>
        <w:pict>
          <v:shape id="_x0000_i1041" type="#_x0000_t75" style="width:413pt;height:37.35pt">
            <v:imagedata r:id="rId13" o:title=""/>
          </v:shape>
        </w:pict>
      </w:r>
      <w:r>
        <w:lastRenderedPageBreak/>
        <w:pict>
          <v:shape id="_x0000_i1042" type="#_x0000_t75" style="width:410.95pt;height:201.75pt">
            <v:imagedata r:id="rId23" o:title=""/>
          </v:shape>
        </w:pict>
      </w:r>
      <w:r>
        <w:pict>
          <v:shape id="_x0000_i1043" type="#_x0000_t75" style="width:125pt;height:21.75pt">
            <v:imagedata r:id="rId24" o:title=""/>
          </v:shape>
        </w:pict>
      </w:r>
      <w:r>
        <w:pict>
          <v:shape id="_x0000_i1044" type="#_x0000_t75" style="width:410.95pt;height:170.5pt">
            <v:imagedata r:id="rId25" o:title=""/>
          </v:shape>
        </w:pict>
      </w:r>
      <w:r>
        <w:pict>
          <v:shape id="_x0000_i1045" type="#_x0000_t75" style="width:415.7pt;height:256.75pt">
            <v:imagedata r:id="rId26" o:title=""/>
          </v:shape>
        </w:pict>
      </w:r>
      <w:r>
        <w:lastRenderedPageBreak/>
        <w:pict>
          <v:shape id="_x0000_i1046" type="#_x0000_t75" style="width:415.7pt;height:235pt">
            <v:imagedata r:id="rId27" o:title=""/>
          </v:shape>
        </w:pict>
      </w:r>
      <w:r>
        <w:pict>
          <v:shape id="_x0000_i1047" type="#_x0000_t75" style="width:411.6pt;height:244.55pt">
            <v:imagedata r:id="rId28" o:title=""/>
          </v:shape>
        </w:pict>
      </w:r>
      <w:r>
        <w:pict>
          <v:shape id="_x0000_i1048" type="#_x0000_t75" style="width:413pt;height:158.25pt">
            <v:imagedata r:id="rId29" o:title=""/>
          </v:shape>
        </w:pict>
      </w:r>
      <w:r>
        <w:lastRenderedPageBreak/>
        <w:pict>
          <v:shape id="_x0000_i1049" type="#_x0000_t75" style="width:401.45pt;height:90.35pt">
            <v:imagedata r:id="rId30" o:title=""/>
          </v:shape>
        </w:pict>
      </w:r>
      <w:r>
        <w:pict>
          <v:shape id="_x0000_i1050" type="#_x0000_t75" style="width:412.3pt;height:122.95pt">
            <v:imagedata r:id="rId31" o:title=""/>
          </v:shape>
        </w:pict>
      </w:r>
      <w:r>
        <w:pict>
          <v:shape id="_x0000_i1051" type="#_x0000_t75" style="width:414.35pt;height:246.55pt">
            <v:imagedata r:id="rId32" o:title=""/>
          </v:shape>
        </w:pict>
      </w:r>
    </w:p>
    <w:p w:rsidR="00281025" w:rsidRDefault="003E27DF">
      <w:r>
        <w:pict>
          <v:shape id="_x0000_i1052" type="#_x0000_t75" style="width:415.7pt;height:231.6pt">
            <v:imagedata r:id="rId33" o:title=""/>
          </v:shape>
        </w:pict>
      </w:r>
    </w:p>
    <w:p w:rsidR="00281025" w:rsidRDefault="003E27DF">
      <w:r>
        <w:lastRenderedPageBreak/>
        <w:pict>
          <v:shape id="_x0000_i1053" type="#_x0000_t75" style="width:168.45pt;height:22.4pt">
            <v:imagedata r:id="rId34" o:title=""/>
          </v:shape>
        </w:pict>
      </w:r>
      <w:r>
        <w:pict>
          <v:shape id="_x0000_i1054" type="#_x0000_t75" style="width:404.85pt;height:84.9pt">
            <v:imagedata r:id="rId35" o:title=""/>
          </v:shape>
        </w:pict>
      </w:r>
      <w:r>
        <w:pict>
          <v:shape id="_x0000_i1055" type="#_x0000_t75" style="width:405.5pt;height:117.5pt">
            <v:imagedata r:id="rId36" o:title=""/>
          </v:shape>
        </w:pict>
      </w:r>
      <w:r>
        <w:pict>
          <v:shape id="_x0000_i1056" type="#_x0000_t75" style="width:414.35pt;height:266.25pt">
            <v:imagedata r:id="rId37" o:title=""/>
          </v:shape>
        </w:pict>
      </w:r>
      <w:r>
        <w:pict>
          <v:shape id="_x0000_i1057" type="#_x0000_t75" style="width:411.6pt;height:185.45pt">
            <v:imagedata r:id="rId38" o:title=""/>
          </v:shape>
        </w:pict>
      </w:r>
      <w:r>
        <w:lastRenderedPageBreak/>
        <w:pict>
          <v:shape id="_x0000_i1058" type="#_x0000_t75" style="width:410.95pt;height:249.95pt">
            <v:imagedata r:id="rId39" o:title=""/>
          </v:shape>
        </w:pict>
      </w:r>
      <w:r>
        <w:pict>
          <v:shape id="_x0000_i1059" type="#_x0000_t75" style="width:410.25pt;height:156.9pt">
            <v:imagedata r:id="rId40" o:title=""/>
          </v:shape>
        </w:pict>
      </w:r>
    </w:p>
    <w:p w:rsidR="00281025" w:rsidRDefault="00281025"/>
    <w:p w:rsidR="00281025" w:rsidRDefault="00281025"/>
    <w:sectPr w:rsidR="00281025" w:rsidSect="00281025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2E" w:rsidRDefault="0057382E" w:rsidP="001C7985">
      <w:r>
        <w:separator/>
      </w:r>
    </w:p>
  </w:endnote>
  <w:endnote w:type="continuationSeparator" w:id="1">
    <w:p w:rsidR="0057382E" w:rsidRDefault="0057382E" w:rsidP="001C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2E" w:rsidRDefault="0057382E" w:rsidP="001C7985">
      <w:r>
        <w:separator/>
      </w:r>
    </w:p>
  </w:footnote>
  <w:footnote w:type="continuationSeparator" w:id="1">
    <w:p w:rsidR="0057382E" w:rsidRDefault="0057382E" w:rsidP="001C7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D57"/>
    <w:rsid w:val="001C7985"/>
    <w:rsid w:val="00274F8C"/>
    <w:rsid w:val="00281025"/>
    <w:rsid w:val="00372E29"/>
    <w:rsid w:val="003E27DF"/>
    <w:rsid w:val="003F2193"/>
    <w:rsid w:val="003F2DCE"/>
    <w:rsid w:val="00416D86"/>
    <w:rsid w:val="00512AD1"/>
    <w:rsid w:val="00525570"/>
    <w:rsid w:val="0057382E"/>
    <w:rsid w:val="005814AC"/>
    <w:rsid w:val="005E3773"/>
    <w:rsid w:val="00611D83"/>
    <w:rsid w:val="0069264D"/>
    <w:rsid w:val="00951C34"/>
    <w:rsid w:val="009776A9"/>
    <w:rsid w:val="00D44D57"/>
    <w:rsid w:val="00F3399D"/>
    <w:rsid w:val="00F43531"/>
    <w:rsid w:val="336B6E7D"/>
    <w:rsid w:val="5E25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2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281025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281025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1C7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798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7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798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自评报表填写要求如下：  </dc:title>
  <dc:creator>ym</dc:creator>
  <cp:lastModifiedBy>DELL</cp:lastModifiedBy>
  <cp:revision>5</cp:revision>
  <dcterms:created xsi:type="dcterms:W3CDTF">2016-09-14T07:27:00Z</dcterms:created>
  <dcterms:modified xsi:type="dcterms:W3CDTF">2022-10-13T01:37:00Z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